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仿宋_GB2312"/>
          <w:sz w:val="32"/>
          <w:szCs w:val="32"/>
          <w:lang w:val="en-US" w:eastAsia="zh-CN"/>
        </w:rPr>
      </w:pPr>
      <w:r>
        <w:rPr>
          <w:rFonts w:hint="eastAsia" w:ascii="黑体" w:hAnsi="黑体" w:eastAsia="黑体" w:cs="仿宋_GB2312"/>
          <w:sz w:val="32"/>
          <w:szCs w:val="32"/>
        </w:rPr>
        <w:t>附件</w:t>
      </w:r>
      <w:r>
        <w:rPr>
          <w:rFonts w:hint="eastAsia" w:ascii="黑体" w:hAnsi="黑体" w:eastAsia="黑体" w:cs="仿宋_GB2312"/>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pacing w:val="-4"/>
          <w:sz w:val="52"/>
          <w:lang w:val="en-US" w:eastAsia="zh-CN"/>
        </w:rPr>
      </w:pPr>
      <w:r>
        <w:rPr>
          <w:rFonts w:hint="eastAsia" w:ascii="方正小标宋简体" w:hAnsi="方正小标宋简体" w:eastAsia="方正小标宋简体" w:cs="方正小标宋简体"/>
          <w:b w:val="0"/>
          <w:bCs w:val="0"/>
          <w:spacing w:val="-4"/>
          <w:sz w:val="52"/>
          <w:lang w:val="en-US" w:eastAsia="zh-CN"/>
        </w:rPr>
        <w:t>全省保险业培育弘扬金融文化</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华文中宋" w:hAnsi="华文中宋" w:eastAsia="华文中宋"/>
          <w:sz w:val="32"/>
        </w:rPr>
      </w:pPr>
      <w:r>
        <w:rPr>
          <w:rFonts w:hint="eastAsia" w:ascii="方正小标宋简体" w:hAnsi="方正小标宋简体" w:eastAsia="方正小标宋简体" w:cs="方正小标宋简体"/>
          <w:b w:val="0"/>
          <w:bCs w:val="0"/>
          <w:spacing w:val="-4"/>
          <w:sz w:val="52"/>
          <w:lang w:val="en-US" w:eastAsia="zh-CN"/>
        </w:rPr>
        <w:t>先进个人</w:t>
      </w:r>
      <w:r>
        <w:rPr>
          <w:rFonts w:hint="eastAsia" w:ascii="方正小标宋简体" w:hAnsi="方正小标宋简体" w:eastAsia="方正小标宋简体" w:cs="方正小标宋简体"/>
          <w:b w:val="0"/>
          <w:bCs w:val="0"/>
          <w:spacing w:val="-4"/>
          <w:sz w:val="52"/>
          <w:lang w:eastAsia="zh-CN"/>
        </w:rPr>
        <w:t>申报表</w:t>
      </w:r>
    </w:p>
    <w:p/>
    <w:tbl>
      <w:tblPr>
        <w:tblStyle w:val="6"/>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20"/>
        <w:gridCol w:w="777"/>
        <w:gridCol w:w="1378"/>
        <w:gridCol w:w="1085"/>
        <w:gridCol w:w="160"/>
        <w:gridCol w:w="1245"/>
        <w:gridCol w:w="545"/>
        <w:gridCol w:w="840"/>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1" w:hRule="atLeast"/>
        </w:trPr>
        <w:tc>
          <w:tcPr>
            <w:tcW w:w="2397" w:type="dxa"/>
            <w:gridSpan w:val="2"/>
            <w:noWrap w:val="0"/>
            <w:vAlign w:val="center"/>
          </w:tcPr>
          <w:p>
            <w:pPr>
              <w:jc w:val="center"/>
              <w:rPr>
                <w:rFonts w:hint="eastAsia" w:ascii="仿宋_GB2312" w:eastAsia="仿宋_GB2312"/>
                <w:sz w:val="30"/>
              </w:rPr>
            </w:pPr>
            <w:r>
              <w:rPr>
                <w:rFonts w:hint="eastAsia" w:ascii="仿宋_GB2312" w:eastAsia="仿宋_GB2312"/>
                <w:sz w:val="30"/>
                <w:lang w:val="en-US" w:eastAsia="zh-CN"/>
              </w:rPr>
              <w:t>机构</w:t>
            </w:r>
            <w:r>
              <w:rPr>
                <w:rFonts w:hint="eastAsia" w:ascii="仿宋_GB2312" w:eastAsia="仿宋_GB2312"/>
                <w:sz w:val="30"/>
              </w:rPr>
              <w:t>名称</w:t>
            </w:r>
          </w:p>
        </w:tc>
        <w:tc>
          <w:tcPr>
            <w:tcW w:w="6714" w:type="dxa"/>
            <w:gridSpan w:val="7"/>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中国人民财产保险股份有限公司九江市分公司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5" w:hRule="atLeast"/>
        </w:trPr>
        <w:tc>
          <w:tcPr>
            <w:tcW w:w="2397" w:type="dxa"/>
            <w:gridSpan w:val="2"/>
            <w:noWrap w:val="0"/>
            <w:vAlign w:val="center"/>
          </w:tcPr>
          <w:p>
            <w:pPr>
              <w:spacing w:line="440" w:lineRule="exact"/>
              <w:jc w:val="center"/>
              <w:rPr>
                <w:rFonts w:hint="eastAsia" w:ascii="仿宋_GB2312" w:eastAsia="仿宋_GB2312"/>
                <w:sz w:val="30"/>
              </w:rPr>
            </w:pPr>
            <w:r>
              <w:rPr>
                <w:rFonts w:hint="eastAsia" w:ascii="仿宋_GB2312" w:eastAsia="仿宋_GB2312"/>
                <w:sz w:val="30"/>
              </w:rPr>
              <w:t>姓名</w:t>
            </w:r>
          </w:p>
        </w:tc>
        <w:tc>
          <w:tcPr>
            <w:tcW w:w="1378"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彭杨</w:t>
            </w:r>
          </w:p>
        </w:tc>
        <w:tc>
          <w:tcPr>
            <w:tcW w:w="1245" w:type="dxa"/>
            <w:gridSpan w:val="2"/>
            <w:noWrap w:val="0"/>
            <w:vAlign w:val="center"/>
          </w:tcPr>
          <w:p>
            <w:pPr>
              <w:spacing w:line="400" w:lineRule="exact"/>
              <w:jc w:val="center"/>
              <w:rPr>
                <w:rFonts w:hint="default" w:ascii="仿宋_GB2312" w:eastAsia="仿宋_GB2312"/>
                <w:sz w:val="30"/>
                <w:lang w:val="en-US" w:eastAsia="zh-CN"/>
              </w:rPr>
            </w:pPr>
            <w:r>
              <w:rPr>
                <w:rFonts w:hint="eastAsia" w:ascii="仿宋_GB2312" w:eastAsia="仿宋_GB2312"/>
                <w:sz w:val="30"/>
                <w:lang w:val="en-US" w:eastAsia="zh-CN"/>
              </w:rPr>
              <w:t>性别</w:t>
            </w:r>
          </w:p>
        </w:tc>
        <w:tc>
          <w:tcPr>
            <w:tcW w:w="1245"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男</w:t>
            </w:r>
          </w:p>
        </w:tc>
        <w:tc>
          <w:tcPr>
            <w:tcW w:w="1385" w:type="dxa"/>
            <w:gridSpan w:val="2"/>
            <w:noWrap w:val="0"/>
            <w:vAlign w:val="center"/>
          </w:tcPr>
          <w:p>
            <w:pPr>
              <w:jc w:val="center"/>
              <w:rPr>
                <w:rFonts w:hint="eastAsia" w:ascii="仿宋_GB2312" w:eastAsia="仿宋_GB2312"/>
                <w:sz w:val="30"/>
                <w:lang w:eastAsia="zh-CN"/>
              </w:rPr>
            </w:pPr>
            <w:r>
              <w:rPr>
                <w:rFonts w:hint="eastAsia" w:ascii="仿宋_GB2312" w:eastAsia="仿宋_GB2312"/>
                <w:sz w:val="30"/>
                <w:lang w:val="en-US" w:eastAsia="zh-CN"/>
              </w:rPr>
              <w:t>年龄</w:t>
            </w:r>
          </w:p>
        </w:tc>
        <w:tc>
          <w:tcPr>
            <w:tcW w:w="1461"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1" w:hRule="atLeast"/>
        </w:trPr>
        <w:tc>
          <w:tcPr>
            <w:tcW w:w="2397" w:type="dxa"/>
            <w:gridSpan w:val="2"/>
            <w:noWrap w:val="0"/>
            <w:vAlign w:val="center"/>
          </w:tcPr>
          <w:p>
            <w:pPr>
              <w:jc w:val="center"/>
              <w:rPr>
                <w:rFonts w:hint="eastAsia" w:ascii="仿宋_GB2312" w:eastAsia="仿宋_GB2312"/>
                <w:sz w:val="30"/>
                <w:lang w:eastAsia="zh-CN"/>
              </w:rPr>
            </w:pPr>
            <w:r>
              <w:rPr>
                <w:rFonts w:hint="eastAsia" w:ascii="仿宋_GB2312" w:eastAsia="仿宋_GB2312"/>
                <w:sz w:val="30"/>
                <w:lang w:val="en-US" w:eastAsia="zh-CN"/>
              </w:rPr>
              <w:t>职务</w:t>
            </w:r>
          </w:p>
        </w:tc>
        <w:tc>
          <w:tcPr>
            <w:tcW w:w="2463" w:type="dxa"/>
            <w:gridSpan w:val="2"/>
            <w:noWrap w:val="0"/>
            <w:vAlign w:val="center"/>
          </w:tcPr>
          <w:p>
            <w:pPr>
              <w:jc w:val="center"/>
              <w:rPr>
                <w:rFonts w:hint="default" w:ascii="仿宋_GB2312" w:eastAsia="仿宋_GB2312"/>
                <w:sz w:val="30"/>
                <w:lang w:val="en-US" w:eastAsia="zh-CN"/>
              </w:rPr>
            </w:pPr>
            <w:r>
              <w:rPr>
                <w:rFonts w:hint="eastAsia" w:ascii="仿宋_GB2312" w:eastAsia="仿宋_GB2312"/>
                <w:sz w:val="28"/>
                <w:szCs w:val="22"/>
                <w:lang w:val="en-US" w:eastAsia="zh-CN"/>
              </w:rPr>
              <w:t>在线理赔分部经理</w:t>
            </w:r>
          </w:p>
        </w:tc>
        <w:tc>
          <w:tcPr>
            <w:tcW w:w="1950" w:type="dxa"/>
            <w:gridSpan w:val="3"/>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联系方式</w:t>
            </w:r>
          </w:p>
        </w:tc>
        <w:tc>
          <w:tcPr>
            <w:tcW w:w="2301" w:type="dxa"/>
            <w:gridSpan w:val="2"/>
            <w:noWrap w:val="0"/>
            <w:vAlign w:val="center"/>
          </w:tcPr>
          <w:p>
            <w:pPr>
              <w:jc w:val="center"/>
              <w:rPr>
                <w:rFonts w:hint="default" w:ascii="仿宋_GB2312" w:eastAsia="仿宋_GB2312"/>
                <w:sz w:val="30"/>
                <w:lang w:val="en-US" w:eastAsia="zh-CN"/>
              </w:rPr>
            </w:pPr>
            <w:r>
              <w:rPr>
                <w:rFonts w:hint="eastAsia" w:ascii="仿宋_GB2312" w:eastAsia="仿宋_GB2312"/>
                <w:sz w:val="28"/>
                <w:szCs w:val="22"/>
                <w:lang w:val="en-US" w:eastAsia="zh-CN"/>
              </w:rPr>
              <w:t>18970256527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02" w:hRule="atLeast"/>
        </w:trPr>
        <w:tc>
          <w:tcPr>
            <w:tcW w:w="1620" w:type="dxa"/>
            <w:noWrap w:val="0"/>
            <w:vAlign w:val="center"/>
          </w:tcPr>
          <w:p>
            <w:pPr>
              <w:spacing w:line="480" w:lineRule="exact"/>
              <w:jc w:val="center"/>
              <w:rPr>
                <w:rFonts w:hint="eastAsia" w:ascii="仿宋_GB2312" w:eastAsia="仿宋_GB2312"/>
                <w:sz w:val="30"/>
                <w:lang w:eastAsia="zh-CN"/>
              </w:rPr>
            </w:pPr>
            <w:r>
              <w:rPr>
                <w:rFonts w:hint="eastAsia" w:ascii="仿宋_GB2312" w:eastAsia="仿宋_GB2312"/>
                <w:sz w:val="30"/>
                <w:lang w:eastAsia="zh-CN"/>
              </w:rPr>
              <w:t>事迹材料</w:t>
            </w:r>
          </w:p>
        </w:tc>
        <w:tc>
          <w:tcPr>
            <w:tcW w:w="7491"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eastAsia="仿宋_GB2312"/>
                <w:sz w:val="24"/>
                <w:szCs w:val="24"/>
                <w:lang w:val="en-US" w:eastAsia="zh-CN"/>
              </w:rPr>
              <w:t>彭杨</w:t>
            </w:r>
            <w:r>
              <w:rPr>
                <w:rFonts w:hint="eastAsia" w:ascii="仿宋_GB2312" w:eastAsia="仿宋_GB2312"/>
                <w:sz w:val="24"/>
                <w:szCs w:val="24"/>
              </w:rPr>
              <w:t>同志</w:t>
            </w:r>
            <w:r>
              <w:rPr>
                <w:rFonts w:hint="eastAsia" w:ascii="仿宋_GB2312" w:eastAsia="仿宋_GB2312"/>
                <w:sz w:val="24"/>
                <w:szCs w:val="24"/>
                <w:lang w:val="en-US" w:eastAsia="zh-CN"/>
              </w:rPr>
              <w:t>始终践行“五要五不”的金融文化理念，</w:t>
            </w:r>
            <w:r>
              <w:rPr>
                <w:rFonts w:hint="eastAsia" w:ascii="仿宋_GB2312" w:hAnsi="仿宋_GB2312" w:eastAsia="仿宋_GB2312" w:cs="仿宋_GB2312"/>
                <w:color w:val="auto"/>
                <w:sz w:val="24"/>
                <w:szCs w:val="24"/>
                <w:highlight w:val="none"/>
                <w:lang w:val="en-US" w:eastAsia="zh-CN"/>
              </w:rPr>
              <w:t>一直以一名共产党员的身份严格要求自己，严格遵守“五要五不”原则。</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诚实守信，不逾越底线是金融保险的根基。党的十八大以来，习近平总书记就诚信主题多次进行重要论述，为新时代中国诚信文化建设提供基本遵循。在金融保险领域，“人无信不立”，诚信是历久弥珍的价值和信仰，信用在金融风险识别、检测、管理、处置等环节发挥着“定海神针”的作用，是金融保险安身立命、不断发展的生命线。在人保公司第一堂课程上我们首先要学的就是金融保险行业一定要坚守诚信底线，发扬铁算盘、铁账本、铁规章。</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以义取利，不唯利是图”是金融保险的品德。正确的价值观和义利观一脉相承，属于金融保险正本清源的“文化回归”。保险行业承担着民生工程和建设金融机构服务实体经济的重要社会责任，因此，要讲信用，将社会责任融入金融服务体系，以“大义利民”不断擦亮金融保险为民的“人民底色”。作为一名人保人，更要倡导义在利先，反对见利忘义、唯利是图，今年7.2洪水灾害，我司开通理赔绿色通道、简化流程积极响应受灾投保客户的报案，受灾期间第一时间应赔尽赔，给赔付“加速度”。充分展现保险金融业的领军风采。</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稳健审慎、不急功近利，是金融保险的智慧。防控风险是金融保险工作永恒的主题，在追求利润增长的同时，不忘风险控制，确保金融活动的可持续性。同时，应避免急功近利，学会长远发展奠定坚实基础。金融保险理赔风险无处不在，彭杨作为一名一线理赔员，保持清醒的头脑，稳健前行，每一笔赔款认真负责，细心研判，每一笔调查报告从来不用模板，真实填写，以稳健审慎的工作作风，将理赔款送到每一户保户手中。</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守正创新，不脱实向虚，是金融保险的动力。习近平总书记强调“中国式现代化不能走脱实向虚的路子”守正为本，创新为要才能在中国特色金融新领域新赛道上把握时代。我们要坚守传统金融文化的基础上，用于探索新的保险业务模式和技术手段，以往的坐等客户上门办理业务改为网上办理、上门承保。理赔服务线上化索赔覆盖城乡一体。不断提升金融保险服务质量和效率，全面做好科技金融、保险金融，实现以专业所长服务实体所需，满足人民群众日益增长的金融保险所需。</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依法合规，不胡作非为，是金融保险的准绳。金融业活力靠市场，秩序靠法治，整体都要在法治化轨道上运行。作为一名人保人，更要严守法律法规的红线，不胡作非为，坚持廉洁高效理赔，定期参加合规培训，确保金融保险活动在法治轨道上平稳运行。</w:t>
            </w:r>
            <w:bookmarkStart w:id="0" w:name="_GoBack"/>
            <w:r>
              <w:rPr>
                <w:rFonts w:hint="eastAsia" w:ascii="仿宋_GB2312" w:hAnsi="仿宋_GB2312" w:eastAsia="仿宋_GB2312" w:cs="仿宋_GB2312"/>
                <w:color w:val="auto"/>
                <w:sz w:val="24"/>
                <w:szCs w:val="24"/>
                <w:highlight w:val="none"/>
                <w:lang w:val="en-US" w:eastAsia="zh-CN"/>
              </w:rPr>
              <w:t>同时，呼吁各金融机构加强行业自律，从创新、监管、立法三个层面共同维护公平竞争的市场环境</w:t>
            </w:r>
            <w:bookmarkEnd w:id="0"/>
            <w:r>
              <w:rPr>
                <w:rFonts w:hint="eastAsia" w:ascii="仿宋_GB2312" w:hAnsi="仿宋_GB2312" w:eastAsia="仿宋_GB2312" w:cs="仿宋_GB2312"/>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在这个充满变革与机遇的时代，培育和弘扬中国特色金融文化，擦亮保险为民底色，作为保险人，我们深感肩负的使命和责任。我们将持续践行“五要五不”金融理念，走好中国特色金融发展之路。</w:t>
            </w:r>
          </w:p>
          <w:p>
            <w:pPr>
              <w:keepNext w:val="0"/>
              <w:keepLines w:val="0"/>
              <w:pageBreakBefore w:val="0"/>
              <w:widowControl w:val="0"/>
              <w:kinsoku/>
              <w:wordWrap/>
              <w:overflowPunct/>
              <w:topLinePunct w:val="0"/>
              <w:autoSpaceDE/>
              <w:autoSpaceDN/>
              <w:bidi w:val="0"/>
              <w:adjustRightInd/>
              <w:snapToGrid/>
              <w:spacing w:line="360" w:lineRule="auto"/>
              <w:ind w:firstLine="2568" w:firstLineChars="1070"/>
              <w:textAlignment w:val="auto"/>
              <w:rPr>
                <w:rFonts w:hint="eastAsia" w:asciiTheme="minorEastAsia" w:hAnsiTheme="minorEastAsia" w:cstheme="minorEastAsia"/>
                <w:color w:val="auto"/>
                <w:sz w:val="24"/>
                <w:szCs w:val="24"/>
                <w:highlight w:val="none"/>
                <w:lang w:val="en-US" w:eastAsia="zh-CN"/>
              </w:rPr>
            </w:pPr>
          </w:p>
          <w:p>
            <w:pPr>
              <w:pStyle w:val="2"/>
              <w:rPr>
                <w:rFonts w:hint="eastAsia"/>
              </w:rPr>
            </w:pPr>
          </w:p>
          <w:p>
            <w:pPr>
              <w:ind w:firstLine="5460" w:firstLineChars="2600"/>
              <w:rPr>
                <w:rFonts w:hint="eastAsia" w:ascii="仿宋_GB2312" w:eastAsia="仿宋_GB2312"/>
                <w:lang w:eastAsia="zh-CN"/>
              </w:rPr>
            </w:pPr>
          </w:p>
          <w:p>
            <w:pPr>
              <w:ind w:firstLine="5320" w:firstLineChars="1900"/>
              <w:rPr>
                <w:rFonts w:hint="eastAsia" w:ascii="仿宋_GB2312" w:eastAsia="仿宋_GB2312"/>
                <w:sz w:val="28"/>
                <w:szCs w:val="28"/>
                <w:lang w:eastAsia="zh-CN"/>
              </w:rPr>
            </w:pPr>
            <w:r>
              <w:rPr>
                <w:rFonts w:hint="eastAsia" w:ascii="仿宋_GB2312" w:eastAsia="仿宋_GB2312"/>
                <w:sz w:val="28"/>
                <w:szCs w:val="28"/>
                <w:lang w:eastAsia="zh-CN"/>
              </w:rPr>
              <w:t>盖</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章</w:t>
            </w:r>
          </w:p>
          <w:p>
            <w:pPr>
              <w:pStyle w:val="2"/>
              <w:ind w:firstLine="4760" w:firstLineChars="1700"/>
              <w:rPr>
                <w:rFonts w:hint="eastAsia"/>
                <w:lang w:eastAsia="zh-CN"/>
              </w:rPr>
            </w:pPr>
            <w:r>
              <w:rPr>
                <w:rFonts w:hint="eastAsia" w:ascii="仿宋_GB2312" w:eastAsia="仿宋_GB2312"/>
                <w:sz w:val="28"/>
                <w:szCs w:val="28"/>
                <w:lang w:val="en-US" w:eastAsia="zh-CN"/>
              </w:rPr>
              <w:t>2024</w:t>
            </w:r>
            <w:r>
              <w:rPr>
                <w:rFonts w:hint="eastAsia" w:ascii="仿宋_GB2312" w:eastAsia="仿宋_GB2312"/>
                <w:sz w:val="28"/>
                <w:szCs w:val="28"/>
                <w:lang w:eastAsia="zh-CN"/>
              </w:rPr>
              <w:t>年</w:t>
            </w:r>
            <w:r>
              <w:rPr>
                <w:rFonts w:hint="eastAsia" w:ascii="仿宋_GB2312" w:eastAsia="仿宋_GB2312"/>
                <w:sz w:val="28"/>
                <w:szCs w:val="28"/>
                <w:lang w:val="en-US" w:eastAsia="zh-CN"/>
              </w:rPr>
              <w:t>10</w:t>
            </w:r>
            <w:r>
              <w:rPr>
                <w:rFonts w:hint="eastAsia" w:ascii="仿宋_GB2312" w:eastAsia="仿宋_GB2312"/>
                <w:sz w:val="28"/>
                <w:szCs w:val="28"/>
                <w:lang w:eastAsia="zh-CN"/>
              </w:rPr>
              <w:t>月</w:t>
            </w:r>
            <w:r>
              <w:rPr>
                <w:rFonts w:hint="eastAsia" w:ascii="仿宋_GB2312" w:eastAsia="仿宋_GB2312"/>
                <w:sz w:val="28"/>
                <w:szCs w:val="28"/>
                <w:lang w:val="en-US" w:eastAsia="zh-CN"/>
              </w:rPr>
              <w:t>31</w:t>
            </w:r>
            <w:r>
              <w:rPr>
                <w:rFonts w:hint="eastAsia" w:ascii="仿宋_GB2312" w:eastAsia="仿宋_GB2312"/>
                <w:sz w:val="28"/>
                <w:szCs w:val="28"/>
                <w:lang w:eastAsia="zh-CN"/>
              </w:rPr>
              <w:t>日</w:t>
            </w:r>
          </w:p>
        </w:tc>
      </w:tr>
    </w:tbl>
    <w:p>
      <w:pPr>
        <w:tabs>
          <w:tab w:val="left" w:pos="3527"/>
        </w:tabs>
        <w:bidi w:val="0"/>
        <w:jc w:val="left"/>
        <w:rPr>
          <w:rFonts w:hint="eastAsia"/>
          <w:lang w:val="en-US" w:eastAsia="zh-CN"/>
        </w:rPr>
      </w:pPr>
    </w:p>
    <w:sectPr>
      <w:footerReference r:id="rId3" w:type="default"/>
      <w:pgSz w:w="11906" w:h="16838"/>
      <w:pgMar w:top="2098" w:right="1474" w:bottom="1984"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xM2JkNzg5NGI1OWEyMGVjMDcxYTY5ZTc1OWEyMWEifQ=="/>
  </w:docVars>
  <w:rsids>
    <w:rsidRoot w:val="54556C69"/>
    <w:rsid w:val="05BD0878"/>
    <w:rsid w:val="09A10FA3"/>
    <w:rsid w:val="0E325B41"/>
    <w:rsid w:val="10FA29C3"/>
    <w:rsid w:val="238B760E"/>
    <w:rsid w:val="23BC7AD3"/>
    <w:rsid w:val="279B5FFD"/>
    <w:rsid w:val="2DE976BD"/>
    <w:rsid w:val="2EB614F9"/>
    <w:rsid w:val="334226CD"/>
    <w:rsid w:val="36E957A9"/>
    <w:rsid w:val="42345D95"/>
    <w:rsid w:val="43DE1998"/>
    <w:rsid w:val="44D710BB"/>
    <w:rsid w:val="45772470"/>
    <w:rsid w:val="481A04BE"/>
    <w:rsid w:val="54556C69"/>
    <w:rsid w:val="5A3F4F34"/>
    <w:rsid w:val="62DF5600"/>
    <w:rsid w:val="635653E7"/>
    <w:rsid w:val="65A61170"/>
    <w:rsid w:val="6AD46BCB"/>
    <w:rsid w:val="6BD02112"/>
    <w:rsid w:val="731A6782"/>
    <w:rsid w:val="74C656E5"/>
    <w:rsid w:val="75265DA9"/>
    <w:rsid w:val="7EFA6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1"/>
    <w:unhideWhenUsed/>
    <w:qFormat/>
    <w:uiPriority w:val="0"/>
    <w:pPr>
      <w:widowControl w:val="0"/>
      <w:spacing w:line="560" w:lineRule="exact"/>
      <w:ind w:firstLine="643"/>
      <w:jc w:val="both"/>
      <w:outlineLvl w:val="1"/>
    </w:pPr>
    <w:rPr>
      <w:rFonts w:ascii="黑体" w:hAnsi="黑体" w:eastAsia="黑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ind w:firstLine="420" w:firstLineChars="0"/>
      <w:jc w:val="left"/>
    </w:pPr>
    <w:rPr>
      <w:rFonts w:ascii="宋体" w:hAnsi="Calibri" w:eastAsia="宋体" w:cs="Times New Roman"/>
      <w:kern w:val="0"/>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1563</Words>
  <Characters>1633</Characters>
  <Lines>0</Lines>
  <Paragraphs>0</Paragraphs>
  <TotalTime>4</TotalTime>
  <ScaleCrop>false</ScaleCrop>
  <LinksUpToDate>false</LinksUpToDate>
  <CharactersWithSpaces>1787</CharactersWithSpaces>
  <Application>WPS Office_11.8.2.12086_F1E327BC-269C-435d-A152-05C5408002CA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2024-10-16T07:05:00Z</dcterms:created>
  <dc:creator>企业用户_1040921073</dc:creator>
  <cp:lastModifiedBy>宋小平</cp:lastModifiedBy>
  <dcterms:modified xsi:type="dcterms:W3CDTF">2024-12-19T00:35:05Z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86BAEB332B534ED28B9328D44E3BA916</vt:lpwstr>
  </property>
</Properties>
</file>